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37B59" w14:textId="77777777" w:rsidR="0062142B" w:rsidRPr="00CA40A6" w:rsidRDefault="001851A8">
      <w:pPr>
        <w:rPr>
          <w:rFonts w:ascii="ＭＳ Ｐゴシック" w:eastAsia="ＭＳ Ｐゴシック" w:hAnsi="ＭＳ Ｐゴシック"/>
          <w:b/>
          <w:bCs/>
          <w:sz w:val="24"/>
          <w:szCs w:val="24"/>
        </w:rPr>
      </w:pPr>
      <w:bookmarkStart w:id="0" w:name="_GoBack"/>
      <w:bookmarkEnd w:id="0"/>
      <w:r w:rsidRPr="00CA40A6">
        <w:rPr>
          <w:rFonts w:ascii="ＭＳ Ｐゴシック" w:eastAsia="ＭＳ Ｐゴシック" w:hAnsi="ＭＳ Ｐゴシック" w:hint="eastAsia"/>
          <w:b/>
          <w:bCs/>
          <w:sz w:val="24"/>
          <w:szCs w:val="24"/>
        </w:rPr>
        <w:t>≪目標設定・評価の指針となる項目内容（社会人基礎力）の説明≫</w:t>
      </w:r>
    </w:p>
    <w:p w14:paraId="2A4FD44F" w14:textId="77777777" w:rsidR="001851A8" w:rsidRPr="00CA40A6" w:rsidRDefault="001851A8">
      <w:pPr>
        <w:rPr>
          <w:rFonts w:ascii="ＭＳ Ｐゴシック" w:eastAsia="ＭＳ Ｐゴシック" w:hAnsi="ＭＳ Ｐゴシック"/>
        </w:rPr>
      </w:pPr>
    </w:p>
    <w:tbl>
      <w:tblPr>
        <w:tblpPr w:leftFromText="142" w:rightFromText="142" w:vertAnchor="page" w:horzAnchor="margin" w:tblpY="175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977"/>
        <w:gridCol w:w="1559"/>
        <w:gridCol w:w="3828"/>
      </w:tblGrid>
      <w:tr w:rsidR="00C37DDC" w:rsidRPr="00CA40A6" w14:paraId="6E404846" w14:textId="77777777" w:rsidTr="00C37DDC">
        <w:trPr>
          <w:trHeight w:val="436"/>
        </w:trPr>
        <w:tc>
          <w:tcPr>
            <w:tcW w:w="9493" w:type="dxa"/>
            <w:gridSpan w:val="4"/>
            <w:shd w:val="clear" w:color="auto" w:fill="D9D9D9"/>
            <w:vAlign w:val="center"/>
          </w:tcPr>
          <w:p w14:paraId="53909F68" w14:textId="77777777" w:rsidR="00C37DDC" w:rsidRPr="00CA40A6" w:rsidRDefault="00C37DDC" w:rsidP="00C37DDC">
            <w:pPr>
              <w:rPr>
                <w:rFonts w:ascii="ＭＳ Ｐゴシック" w:eastAsia="ＭＳ Ｐゴシック" w:hAnsi="ＭＳ Ｐゴシック"/>
                <w:b/>
                <w:szCs w:val="21"/>
              </w:rPr>
            </w:pPr>
            <w:r w:rsidRPr="00CA40A6">
              <w:rPr>
                <w:rFonts w:ascii="ＭＳ Ｐゴシック" w:eastAsia="ＭＳ Ｐゴシック" w:hAnsi="ＭＳ Ｐゴシック" w:hint="eastAsia"/>
                <w:b/>
                <w:szCs w:val="21"/>
              </w:rPr>
              <w:t>向上させるべき能力（社会人基礎力）</w:t>
            </w:r>
          </w:p>
        </w:tc>
      </w:tr>
      <w:tr w:rsidR="00C37DDC" w:rsidRPr="00CA40A6" w14:paraId="12E1EDC8" w14:textId="77777777" w:rsidTr="001E0E8D">
        <w:trPr>
          <w:trHeight w:val="258"/>
        </w:trPr>
        <w:tc>
          <w:tcPr>
            <w:tcW w:w="1129" w:type="dxa"/>
            <w:vMerge w:val="restart"/>
            <w:shd w:val="clear" w:color="auto" w:fill="auto"/>
            <w:vAlign w:val="center"/>
          </w:tcPr>
          <w:p w14:paraId="33218A0F" w14:textId="77777777" w:rsidR="00C37DDC" w:rsidRPr="00CA40A6" w:rsidRDefault="00C37DDC" w:rsidP="00C37DDC">
            <w:pPr>
              <w:jc w:val="center"/>
              <w:rPr>
                <w:rFonts w:ascii="ＭＳ Ｐゴシック" w:eastAsia="ＭＳ Ｐゴシック" w:hAnsi="ＭＳ Ｐゴシック"/>
                <w:bCs/>
                <w:szCs w:val="21"/>
              </w:rPr>
            </w:pPr>
            <w:r w:rsidRPr="00CA40A6">
              <w:rPr>
                <w:rFonts w:ascii="ＭＳ Ｐゴシック" w:eastAsia="ＭＳ Ｐゴシック" w:hAnsi="ＭＳ Ｐゴシック" w:hint="eastAsia"/>
                <w:bCs/>
                <w:szCs w:val="21"/>
              </w:rPr>
              <w:t>前に踏み出す力</w:t>
            </w:r>
          </w:p>
        </w:tc>
        <w:tc>
          <w:tcPr>
            <w:tcW w:w="2977" w:type="dxa"/>
            <w:vMerge w:val="restart"/>
            <w:shd w:val="clear" w:color="auto" w:fill="auto"/>
            <w:vAlign w:val="center"/>
          </w:tcPr>
          <w:p w14:paraId="28BA3931"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・一歩前に踏み出し、失敗しても粘り強く取り組む力</w:t>
            </w:r>
          </w:p>
          <w:p w14:paraId="0B30DB2E"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・指示待ちにならず、一人称で物事を捉え、自ら行動する力</w:t>
            </w:r>
          </w:p>
        </w:tc>
        <w:tc>
          <w:tcPr>
            <w:tcW w:w="1559" w:type="dxa"/>
            <w:shd w:val="clear" w:color="auto" w:fill="auto"/>
            <w:vAlign w:val="center"/>
          </w:tcPr>
          <w:p w14:paraId="6C552709"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主体性</w:t>
            </w:r>
          </w:p>
        </w:tc>
        <w:tc>
          <w:tcPr>
            <w:tcW w:w="3828" w:type="dxa"/>
            <w:shd w:val="clear" w:color="auto" w:fill="auto"/>
            <w:vAlign w:val="center"/>
          </w:tcPr>
          <w:p w14:paraId="19C76E5F"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物事に進んで取り組む</w:t>
            </w:r>
          </w:p>
        </w:tc>
      </w:tr>
      <w:tr w:rsidR="00C37DDC" w:rsidRPr="00CA40A6" w14:paraId="379CA6B6" w14:textId="77777777" w:rsidTr="001E0E8D">
        <w:trPr>
          <w:trHeight w:val="237"/>
        </w:trPr>
        <w:tc>
          <w:tcPr>
            <w:tcW w:w="1129" w:type="dxa"/>
            <w:vMerge/>
            <w:shd w:val="clear" w:color="auto" w:fill="auto"/>
            <w:vAlign w:val="center"/>
          </w:tcPr>
          <w:p w14:paraId="006BDF23" w14:textId="77777777" w:rsidR="00C37DDC" w:rsidRPr="00CA40A6" w:rsidRDefault="00C37DDC" w:rsidP="00C37DDC">
            <w:pPr>
              <w:jc w:val="center"/>
              <w:rPr>
                <w:rFonts w:ascii="ＭＳ Ｐゴシック" w:eastAsia="ＭＳ Ｐゴシック" w:hAnsi="ＭＳ Ｐゴシック"/>
                <w:bCs/>
                <w:szCs w:val="21"/>
              </w:rPr>
            </w:pPr>
          </w:p>
        </w:tc>
        <w:tc>
          <w:tcPr>
            <w:tcW w:w="2977" w:type="dxa"/>
            <w:vMerge/>
            <w:shd w:val="clear" w:color="auto" w:fill="auto"/>
            <w:vAlign w:val="center"/>
          </w:tcPr>
          <w:p w14:paraId="455BEE26" w14:textId="77777777" w:rsidR="00C37DDC" w:rsidRPr="00CA40A6" w:rsidRDefault="00C37DDC" w:rsidP="00C37DDC">
            <w:pPr>
              <w:jc w:val="left"/>
              <w:rPr>
                <w:rFonts w:ascii="ＭＳ Ｐゴシック" w:eastAsia="ＭＳ Ｐゴシック" w:hAnsi="ＭＳ Ｐゴシック"/>
                <w:szCs w:val="21"/>
              </w:rPr>
            </w:pPr>
          </w:p>
        </w:tc>
        <w:tc>
          <w:tcPr>
            <w:tcW w:w="1559" w:type="dxa"/>
            <w:shd w:val="clear" w:color="auto" w:fill="auto"/>
            <w:vAlign w:val="center"/>
          </w:tcPr>
          <w:p w14:paraId="72CBF6A1"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働きかけ力</w:t>
            </w:r>
          </w:p>
        </w:tc>
        <w:tc>
          <w:tcPr>
            <w:tcW w:w="3828" w:type="dxa"/>
            <w:shd w:val="clear" w:color="auto" w:fill="auto"/>
            <w:vAlign w:val="center"/>
          </w:tcPr>
          <w:p w14:paraId="15C16717"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他人に働きかけ巻き込む</w:t>
            </w:r>
          </w:p>
        </w:tc>
      </w:tr>
      <w:tr w:rsidR="00C37DDC" w:rsidRPr="00CA40A6" w14:paraId="6E14C6E0" w14:textId="77777777" w:rsidTr="001E0E8D">
        <w:trPr>
          <w:trHeight w:val="85"/>
        </w:trPr>
        <w:tc>
          <w:tcPr>
            <w:tcW w:w="1129" w:type="dxa"/>
            <w:vMerge/>
            <w:shd w:val="clear" w:color="auto" w:fill="auto"/>
            <w:vAlign w:val="center"/>
          </w:tcPr>
          <w:p w14:paraId="0FB4674A" w14:textId="77777777" w:rsidR="00C37DDC" w:rsidRPr="00CA40A6" w:rsidRDefault="00C37DDC" w:rsidP="00C37DDC">
            <w:pPr>
              <w:jc w:val="center"/>
              <w:rPr>
                <w:rFonts w:ascii="ＭＳ Ｐゴシック" w:eastAsia="ＭＳ Ｐゴシック" w:hAnsi="ＭＳ Ｐゴシック"/>
                <w:bCs/>
                <w:szCs w:val="21"/>
              </w:rPr>
            </w:pPr>
          </w:p>
        </w:tc>
        <w:tc>
          <w:tcPr>
            <w:tcW w:w="2977" w:type="dxa"/>
            <w:vMerge/>
            <w:shd w:val="clear" w:color="auto" w:fill="auto"/>
            <w:vAlign w:val="center"/>
          </w:tcPr>
          <w:p w14:paraId="16EB4D30" w14:textId="77777777" w:rsidR="00C37DDC" w:rsidRPr="00CA40A6" w:rsidRDefault="00C37DDC" w:rsidP="00C37DDC">
            <w:pPr>
              <w:jc w:val="left"/>
              <w:rPr>
                <w:rFonts w:ascii="ＭＳ Ｐゴシック" w:eastAsia="ＭＳ Ｐゴシック" w:hAnsi="ＭＳ Ｐゴシック"/>
                <w:szCs w:val="21"/>
              </w:rPr>
            </w:pPr>
          </w:p>
        </w:tc>
        <w:tc>
          <w:tcPr>
            <w:tcW w:w="1559" w:type="dxa"/>
            <w:shd w:val="clear" w:color="auto" w:fill="auto"/>
            <w:vAlign w:val="center"/>
          </w:tcPr>
          <w:p w14:paraId="5BFCF2F7" w14:textId="77777777" w:rsidR="00C37DDC" w:rsidRPr="00CA40A6" w:rsidRDefault="00C37DDC" w:rsidP="00C37DDC">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実行力</w:t>
            </w:r>
          </w:p>
        </w:tc>
        <w:tc>
          <w:tcPr>
            <w:tcW w:w="3828" w:type="dxa"/>
            <w:shd w:val="clear" w:color="auto" w:fill="auto"/>
            <w:vAlign w:val="center"/>
          </w:tcPr>
          <w:p w14:paraId="1201E758"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目的を設定し確実に行動する</w:t>
            </w:r>
          </w:p>
        </w:tc>
      </w:tr>
      <w:tr w:rsidR="00C37DDC" w:rsidRPr="00CA40A6" w14:paraId="6445B904" w14:textId="77777777" w:rsidTr="001E0E8D">
        <w:trPr>
          <w:trHeight w:val="307"/>
        </w:trPr>
        <w:tc>
          <w:tcPr>
            <w:tcW w:w="1129" w:type="dxa"/>
            <w:vMerge w:val="restart"/>
            <w:shd w:val="clear" w:color="auto" w:fill="auto"/>
            <w:vAlign w:val="center"/>
          </w:tcPr>
          <w:p w14:paraId="2E1E6A26" w14:textId="77777777" w:rsidR="00C37DDC" w:rsidRPr="00CA40A6" w:rsidRDefault="00C37DDC" w:rsidP="00C37DDC">
            <w:pPr>
              <w:jc w:val="center"/>
              <w:rPr>
                <w:rFonts w:ascii="ＭＳ Ｐゴシック" w:eastAsia="ＭＳ Ｐゴシック" w:hAnsi="ＭＳ Ｐゴシック"/>
                <w:bCs/>
                <w:szCs w:val="21"/>
              </w:rPr>
            </w:pPr>
            <w:r w:rsidRPr="00CA40A6">
              <w:rPr>
                <w:rFonts w:ascii="ＭＳ Ｐゴシック" w:eastAsia="ＭＳ Ｐゴシック" w:hAnsi="ＭＳ Ｐゴシック" w:hint="eastAsia"/>
                <w:bCs/>
                <w:szCs w:val="21"/>
              </w:rPr>
              <w:t>考え抜く力</w:t>
            </w:r>
          </w:p>
        </w:tc>
        <w:tc>
          <w:tcPr>
            <w:tcW w:w="2977" w:type="dxa"/>
            <w:vMerge w:val="restart"/>
            <w:shd w:val="clear" w:color="auto" w:fill="auto"/>
            <w:vAlign w:val="center"/>
          </w:tcPr>
          <w:p w14:paraId="5FDB077F"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・疑問を持ち、考え抜く力</w:t>
            </w:r>
          </w:p>
          <w:p w14:paraId="70BB8F37"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・自ら課題提起し、解決のためのシナリオを描く、自律的な思考力</w:t>
            </w:r>
          </w:p>
        </w:tc>
        <w:tc>
          <w:tcPr>
            <w:tcW w:w="1559" w:type="dxa"/>
            <w:shd w:val="clear" w:color="auto" w:fill="auto"/>
          </w:tcPr>
          <w:p w14:paraId="66722963" w14:textId="77777777" w:rsidR="00C37DDC" w:rsidRPr="00CA40A6" w:rsidRDefault="00C37DDC" w:rsidP="00C37DDC">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課題発見力</w:t>
            </w:r>
          </w:p>
        </w:tc>
        <w:tc>
          <w:tcPr>
            <w:tcW w:w="3828" w:type="dxa"/>
            <w:shd w:val="clear" w:color="auto" w:fill="auto"/>
            <w:vAlign w:val="center"/>
          </w:tcPr>
          <w:p w14:paraId="44AAB745"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現状を分析し目的や課題を明らかにする</w:t>
            </w:r>
          </w:p>
        </w:tc>
      </w:tr>
      <w:tr w:rsidR="00C37DDC" w:rsidRPr="00CA40A6" w14:paraId="19B2376A" w14:textId="77777777" w:rsidTr="001E0E8D">
        <w:trPr>
          <w:trHeight w:val="270"/>
        </w:trPr>
        <w:tc>
          <w:tcPr>
            <w:tcW w:w="1129" w:type="dxa"/>
            <w:vMerge/>
            <w:shd w:val="clear" w:color="auto" w:fill="auto"/>
            <w:vAlign w:val="center"/>
          </w:tcPr>
          <w:p w14:paraId="61D7BE52" w14:textId="77777777" w:rsidR="00C37DDC" w:rsidRPr="00CA40A6" w:rsidRDefault="00C37DDC" w:rsidP="00C37DDC">
            <w:pPr>
              <w:jc w:val="center"/>
              <w:rPr>
                <w:rFonts w:ascii="ＭＳ Ｐゴシック" w:eastAsia="ＭＳ Ｐゴシック" w:hAnsi="ＭＳ Ｐゴシック"/>
                <w:bCs/>
                <w:szCs w:val="21"/>
              </w:rPr>
            </w:pPr>
          </w:p>
        </w:tc>
        <w:tc>
          <w:tcPr>
            <w:tcW w:w="2977" w:type="dxa"/>
            <w:vMerge/>
            <w:shd w:val="clear" w:color="auto" w:fill="auto"/>
            <w:vAlign w:val="center"/>
          </w:tcPr>
          <w:p w14:paraId="2CAD30E6" w14:textId="77777777" w:rsidR="00C37DDC" w:rsidRPr="00CA40A6" w:rsidRDefault="00C37DDC" w:rsidP="00C37DDC">
            <w:pPr>
              <w:jc w:val="left"/>
              <w:rPr>
                <w:rFonts w:ascii="ＭＳ Ｐゴシック" w:eastAsia="ＭＳ Ｐゴシック" w:hAnsi="ＭＳ Ｐゴシック"/>
                <w:szCs w:val="21"/>
              </w:rPr>
            </w:pPr>
          </w:p>
        </w:tc>
        <w:tc>
          <w:tcPr>
            <w:tcW w:w="1559" w:type="dxa"/>
            <w:shd w:val="clear" w:color="auto" w:fill="auto"/>
          </w:tcPr>
          <w:p w14:paraId="0B39AA9E" w14:textId="77777777" w:rsidR="00C37DDC" w:rsidRPr="00CA40A6" w:rsidRDefault="00C37DDC" w:rsidP="00C37DDC">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計画力</w:t>
            </w:r>
          </w:p>
        </w:tc>
        <w:tc>
          <w:tcPr>
            <w:tcW w:w="3828" w:type="dxa"/>
            <w:shd w:val="clear" w:color="auto" w:fill="auto"/>
            <w:vAlign w:val="center"/>
          </w:tcPr>
          <w:p w14:paraId="3E5338AE"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課題の解決に向けたプロセスを明らかにし準備する</w:t>
            </w:r>
          </w:p>
        </w:tc>
      </w:tr>
      <w:tr w:rsidR="00C37DDC" w:rsidRPr="00CA40A6" w14:paraId="55439CCF" w14:textId="77777777" w:rsidTr="001E0E8D">
        <w:trPr>
          <w:trHeight w:val="248"/>
        </w:trPr>
        <w:tc>
          <w:tcPr>
            <w:tcW w:w="1129" w:type="dxa"/>
            <w:vMerge/>
            <w:shd w:val="clear" w:color="auto" w:fill="auto"/>
            <w:vAlign w:val="center"/>
          </w:tcPr>
          <w:p w14:paraId="6504ACEE" w14:textId="77777777" w:rsidR="00C37DDC" w:rsidRPr="00CA40A6" w:rsidRDefault="00C37DDC" w:rsidP="00C37DDC">
            <w:pPr>
              <w:jc w:val="center"/>
              <w:rPr>
                <w:rFonts w:ascii="ＭＳ Ｐゴシック" w:eastAsia="ＭＳ Ｐゴシック" w:hAnsi="ＭＳ Ｐゴシック"/>
                <w:bCs/>
                <w:szCs w:val="21"/>
              </w:rPr>
            </w:pPr>
          </w:p>
        </w:tc>
        <w:tc>
          <w:tcPr>
            <w:tcW w:w="2977" w:type="dxa"/>
            <w:vMerge/>
            <w:shd w:val="clear" w:color="auto" w:fill="auto"/>
            <w:vAlign w:val="center"/>
          </w:tcPr>
          <w:p w14:paraId="7F6B14FA" w14:textId="77777777" w:rsidR="00C37DDC" w:rsidRPr="00CA40A6" w:rsidRDefault="00C37DDC" w:rsidP="00C37DDC">
            <w:pPr>
              <w:jc w:val="left"/>
              <w:rPr>
                <w:rFonts w:ascii="ＭＳ Ｐゴシック" w:eastAsia="ＭＳ Ｐゴシック" w:hAnsi="ＭＳ Ｐゴシック"/>
                <w:szCs w:val="21"/>
              </w:rPr>
            </w:pPr>
          </w:p>
        </w:tc>
        <w:tc>
          <w:tcPr>
            <w:tcW w:w="1559" w:type="dxa"/>
            <w:shd w:val="clear" w:color="auto" w:fill="auto"/>
          </w:tcPr>
          <w:p w14:paraId="4A10B7F3" w14:textId="77777777" w:rsidR="00C37DDC" w:rsidRPr="00CA40A6" w:rsidRDefault="00C37DDC" w:rsidP="00C37DDC">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創造力</w:t>
            </w:r>
          </w:p>
        </w:tc>
        <w:tc>
          <w:tcPr>
            <w:tcW w:w="3828" w:type="dxa"/>
            <w:shd w:val="clear" w:color="auto" w:fill="auto"/>
            <w:vAlign w:val="center"/>
          </w:tcPr>
          <w:p w14:paraId="7E6DCC4D"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新しい価値を生み出す</w:t>
            </w:r>
          </w:p>
        </w:tc>
      </w:tr>
      <w:tr w:rsidR="00C37DDC" w:rsidRPr="00CA40A6" w14:paraId="1F7E8526" w14:textId="77777777" w:rsidTr="001E0E8D">
        <w:trPr>
          <w:trHeight w:val="79"/>
        </w:trPr>
        <w:tc>
          <w:tcPr>
            <w:tcW w:w="1129" w:type="dxa"/>
            <w:vMerge w:val="restart"/>
            <w:shd w:val="clear" w:color="auto" w:fill="auto"/>
            <w:vAlign w:val="center"/>
          </w:tcPr>
          <w:p w14:paraId="1DE38E56" w14:textId="77777777" w:rsidR="00C37DDC" w:rsidRPr="00CA40A6" w:rsidRDefault="00C37DDC" w:rsidP="00C37DDC">
            <w:pPr>
              <w:jc w:val="center"/>
              <w:rPr>
                <w:rFonts w:ascii="ＭＳ Ｐゴシック" w:eastAsia="ＭＳ Ｐゴシック" w:hAnsi="ＭＳ Ｐゴシック"/>
                <w:bCs/>
                <w:szCs w:val="21"/>
              </w:rPr>
            </w:pPr>
            <w:r w:rsidRPr="00CA40A6">
              <w:rPr>
                <w:rFonts w:ascii="ＭＳ Ｐゴシック" w:eastAsia="ＭＳ Ｐゴシック" w:hAnsi="ＭＳ Ｐゴシック" w:hint="eastAsia"/>
                <w:bCs/>
                <w:szCs w:val="21"/>
              </w:rPr>
              <w:t>チームで働く力</w:t>
            </w:r>
          </w:p>
        </w:tc>
        <w:tc>
          <w:tcPr>
            <w:tcW w:w="2977" w:type="dxa"/>
            <w:vMerge w:val="restart"/>
            <w:shd w:val="clear" w:color="auto" w:fill="auto"/>
            <w:vAlign w:val="center"/>
          </w:tcPr>
          <w:p w14:paraId="3DD84A9D"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・多様な人々とともに、目標に向けて協力する力</w:t>
            </w:r>
          </w:p>
          <w:p w14:paraId="2DB34CEA"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・グループ内の協調性だけに留まらず、多様な人々とのつながりや協働を生み出す力</w:t>
            </w:r>
          </w:p>
        </w:tc>
        <w:tc>
          <w:tcPr>
            <w:tcW w:w="1559" w:type="dxa"/>
            <w:shd w:val="clear" w:color="auto" w:fill="auto"/>
          </w:tcPr>
          <w:p w14:paraId="529A8BB7" w14:textId="77777777" w:rsidR="00C37DDC" w:rsidRPr="00CA40A6" w:rsidRDefault="00C37DDC" w:rsidP="00C37DDC">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発信力</w:t>
            </w:r>
          </w:p>
        </w:tc>
        <w:tc>
          <w:tcPr>
            <w:tcW w:w="3828" w:type="dxa"/>
            <w:shd w:val="clear" w:color="auto" w:fill="auto"/>
            <w:vAlign w:val="center"/>
          </w:tcPr>
          <w:p w14:paraId="0DEEDC1A"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自分の意見を分かりやすく伝える</w:t>
            </w:r>
          </w:p>
        </w:tc>
      </w:tr>
      <w:tr w:rsidR="00C37DDC" w:rsidRPr="00CA40A6" w14:paraId="0CB51C5D" w14:textId="77777777" w:rsidTr="001E0E8D">
        <w:trPr>
          <w:trHeight w:val="319"/>
        </w:trPr>
        <w:tc>
          <w:tcPr>
            <w:tcW w:w="1129" w:type="dxa"/>
            <w:vMerge/>
            <w:shd w:val="clear" w:color="auto" w:fill="auto"/>
            <w:vAlign w:val="center"/>
          </w:tcPr>
          <w:p w14:paraId="53C6C304" w14:textId="77777777" w:rsidR="00C37DDC" w:rsidRPr="00CA40A6" w:rsidRDefault="00C37DDC" w:rsidP="00C37DDC">
            <w:pPr>
              <w:jc w:val="center"/>
              <w:rPr>
                <w:rFonts w:ascii="ＭＳ Ｐゴシック" w:eastAsia="ＭＳ Ｐゴシック" w:hAnsi="ＭＳ Ｐゴシック"/>
                <w:b/>
                <w:szCs w:val="21"/>
              </w:rPr>
            </w:pPr>
          </w:p>
        </w:tc>
        <w:tc>
          <w:tcPr>
            <w:tcW w:w="2977" w:type="dxa"/>
            <w:vMerge/>
            <w:shd w:val="clear" w:color="auto" w:fill="auto"/>
            <w:vAlign w:val="center"/>
          </w:tcPr>
          <w:p w14:paraId="0B3463D9" w14:textId="77777777" w:rsidR="00C37DDC" w:rsidRPr="00CA40A6" w:rsidRDefault="00C37DDC" w:rsidP="00C37DDC">
            <w:pPr>
              <w:jc w:val="left"/>
              <w:rPr>
                <w:rFonts w:ascii="ＭＳ Ｐゴシック" w:eastAsia="ＭＳ Ｐゴシック" w:hAnsi="ＭＳ Ｐゴシック"/>
                <w:szCs w:val="21"/>
              </w:rPr>
            </w:pPr>
          </w:p>
        </w:tc>
        <w:tc>
          <w:tcPr>
            <w:tcW w:w="1559" w:type="dxa"/>
            <w:shd w:val="clear" w:color="auto" w:fill="auto"/>
          </w:tcPr>
          <w:p w14:paraId="73E724D1" w14:textId="77777777" w:rsidR="00C37DDC" w:rsidRPr="00CA40A6" w:rsidRDefault="00C37DDC" w:rsidP="00C37DDC">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傾聴力</w:t>
            </w:r>
          </w:p>
        </w:tc>
        <w:tc>
          <w:tcPr>
            <w:tcW w:w="3828" w:type="dxa"/>
            <w:shd w:val="clear" w:color="auto" w:fill="auto"/>
            <w:vAlign w:val="center"/>
          </w:tcPr>
          <w:p w14:paraId="057C4D7B"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相手の意見を丁寧に聞く</w:t>
            </w:r>
          </w:p>
        </w:tc>
      </w:tr>
      <w:tr w:rsidR="00C37DDC" w:rsidRPr="00CA40A6" w14:paraId="063A6478" w14:textId="77777777" w:rsidTr="001E0E8D">
        <w:trPr>
          <w:trHeight w:val="213"/>
        </w:trPr>
        <w:tc>
          <w:tcPr>
            <w:tcW w:w="1129" w:type="dxa"/>
            <w:vMerge/>
            <w:shd w:val="clear" w:color="auto" w:fill="auto"/>
            <w:vAlign w:val="center"/>
          </w:tcPr>
          <w:p w14:paraId="1B0DC380" w14:textId="77777777" w:rsidR="00C37DDC" w:rsidRPr="00CA40A6" w:rsidRDefault="00C37DDC" w:rsidP="00C37DDC">
            <w:pPr>
              <w:jc w:val="center"/>
              <w:rPr>
                <w:rFonts w:ascii="ＭＳ Ｐゴシック" w:eastAsia="ＭＳ Ｐゴシック" w:hAnsi="ＭＳ Ｐゴシック"/>
                <w:b/>
                <w:szCs w:val="21"/>
              </w:rPr>
            </w:pPr>
          </w:p>
        </w:tc>
        <w:tc>
          <w:tcPr>
            <w:tcW w:w="2977" w:type="dxa"/>
            <w:vMerge/>
            <w:shd w:val="clear" w:color="auto" w:fill="auto"/>
            <w:vAlign w:val="center"/>
          </w:tcPr>
          <w:p w14:paraId="7A11C350" w14:textId="77777777" w:rsidR="00C37DDC" w:rsidRPr="00CA40A6" w:rsidRDefault="00C37DDC" w:rsidP="00C37DDC">
            <w:pPr>
              <w:jc w:val="left"/>
              <w:rPr>
                <w:rFonts w:ascii="ＭＳ Ｐゴシック" w:eastAsia="ＭＳ Ｐゴシック" w:hAnsi="ＭＳ Ｐゴシック"/>
                <w:szCs w:val="21"/>
              </w:rPr>
            </w:pPr>
          </w:p>
        </w:tc>
        <w:tc>
          <w:tcPr>
            <w:tcW w:w="1559" w:type="dxa"/>
            <w:shd w:val="clear" w:color="auto" w:fill="auto"/>
          </w:tcPr>
          <w:p w14:paraId="167ECEA6" w14:textId="77777777" w:rsidR="00C37DDC" w:rsidRPr="00CA40A6" w:rsidRDefault="00C37DDC" w:rsidP="00C37DDC">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柔軟性</w:t>
            </w:r>
          </w:p>
        </w:tc>
        <w:tc>
          <w:tcPr>
            <w:tcW w:w="3828" w:type="dxa"/>
            <w:shd w:val="clear" w:color="auto" w:fill="auto"/>
            <w:vAlign w:val="center"/>
          </w:tcPr>
          <w:p w14:paraId="19CA7014"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意見の違いや相手の立場を理解する</w:t>
            </w:r>
          </w:p>
        </w:tc>
      </w:tr>
      <w:tr w:rsidR="00C37DDC" w:rsidRPr="00CA40A6" w14:paraId="5E40E9C0" w14:textId="77777777" w:rsidTr="001E0E8D">
        <w:trPr>
          <w:trHeight w:val="522"/>
        </w:trPr>
        <w:tc>
          <w:tcPr>
            <w:tcW w:w="1129" w:type="dxa"/>
            <w:vMerge/>
            <w:shd w:val="clear" w:color="auto" w:fill="auto"/>
            <w:vAlign w:val="center"/>
          </w:tcPr>
          <w:p w14:paraId="092D01B9" w14:textId="77777777" w:rsidR="00C37DDC" w:rsidRPr="00CA40A6" w:rsidRDefault="00C37DDC" w:rsidP="00C37DDC">
            <w:pPr>
              <w:jc w:val="center"/>
              <w:rPr>
                <w:rFonts w:ascii="ＭＳ Ｐゴシック" w:eastAsia="ＭＳ Ｐゴシック" w:hAnsi="ＭＳ Ｐゴシック"/>
                <w:b/>
                <w:szCs w:val="21"/>
              </w:rPr>
            </w:pPr>
          </w:p>
        </w:tc>
        <w:tc>
          <w:tcPr>
            <w:tcW w:w="2977" w:type="dxa"/>
            <w:vMerge/>
            <w:shd w:val="clear" w:color="auto" w:fill="auto"/>
            <w:vAlign w:val="center"/>
          </w:tcPr>
          <w:p w14:paraId="1EA7DD8B" w14:textId="77777777" w:rsidR="00C37DDC" w:rsidRPr="00CA40A6" w:rsidRDefault="00C37DDC" w:rsidP="00C37DDC">
            <w:pPr>
              <w:jc w:val="left"/>
              <w:rPr>
                <w:rFonts w:ascii="ＭＳ Ｐゴシック" w:eastAsia="ＭＳ Ｐゴシック" w:hAnsi="ＭＳ Ｐゴシック"/>
                <w:szCs w:val="21"/>
              </w:rPr>
            </w:pPr>
          </w:p>
        </w:tc>
        <w:tc>
          <w:tcPr>
            <w:tcW w:w="1559" w:type="dxa"/>
            <w:shd w:val="clear" w:color="auto" w:fill="auto"/>
          </w:tcPr>
          <w:p w14:paraId="28EACDFA" w14:textId="77777777" w:rsidR="00C37DDC" w:rsidRPr="00CA40A6" w:rsidRDefault="00C37DDC" w:rsidP="00C37DDC">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状況把握力</w:t>
            </w:r>
          </w:p>
        </w:tc>
        <w:tc>
          <w:tcPr>
            <w:tcW w:w="3828" w:type="dxa"/>
            <w:shd w:val="clear" w:color="auto" w:fill="auto"/>
            <w:vAlign w:val="center"/>
          </w:tcPr>
          <w:p w14:paraId="52ECB74D"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自分と周囲の人々や物事との関係性を理解する</w:t>
            </w:r>
          </w:p>
        </w:tc>
      </w:tr>
      <w:tr w:rsidR="00C37DDC" w:rsidRPr="00CA40A6" w14:paraId="3D066DAB" w14:textId="77777777" w:rsidTr="001E0E8D">
        <w:trPr>
          <w:trHeight w:val="260"/>
        </w:trPr>
        <w:tc>
          <w:tcPr>
            <w:tcW w:w="1129" w:type="dxa"/>
            <w:vMerge/>
            <w:shd w:val="clear" w:color="auto" w:fill="auto"/>
            <w:vAlign w:val="center"/>
          </w:tcPr>
          <w:p w14:paraId="7B545059" w14:textId="77777777" w:rsidR="00C37DDC" w:rsidRPr="00CA40A6" w:rsidRDefault="00C37DDC" w:rsidP="00C37DDC">
            <w:pPr>
              <w:jc w:val="center"/>
              <w:rPr>
                <w:rFonts w:ascii="ＭＳ Ｐゴシック" w:eastAsia="ＭＳ Ｐゴシック" w:hAnsi="ＭＳ Ｐゴシック"/>
                <w:b/>
                <w:szCs w:val="21"/>
              </w:rPr>
            </w:pPr>
          </w:p>
        </w:tc>
        <w:tc>
          <w:tcPr>
            <w:tcW w:w="2977" w:type="dxa"/>
            <w:vMerge/>
            <w:shd w:val="clear" w:color="auto" w:fill="auto"/>
            <w:vAlign w:val="center"/>
          </w:tcPr>
          <w:p w14:paraId="6C9B7239" w14:textId="77777777" w:rsidR="00C37DDC" w:rsidRPr="00CA40A6" w:rsidRDefault="00C37DDC" w:rsidP="00C37DDC">
            <w:pPr>
              <w:jc w:val="left"/>
              <w:rPr>
                <w:rFonts w:ascii="ＭＳ Ｐゴシック" w:eastAsia="ＭＳ Ｐゴシック" w:hAnsi="ＭＳ Ｐゴシック"/>
                <w:szCs w:val="21"/>
              </w:rPr>
            </w:pPr>
          </w:p>
        </w:tc>
        <w:tc>
          <w:tcPr>
            <w:tcW w:w="1559" w:type="dxa"/>
            <w:shd w:val="clear" w:color="auto" w:fill="auto"/>
          </w:tcPr>
          <w:p w14:paraId="2279D358" w14:textId="77777777" w:rsidR="00C37DDC" w:rsidRPr="00CA40A6" w:rsidRDefault="00C37DDC" w:rsidP="00C37DDC">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規律性</w:t>
            </w:r>
          </w:p>
        </w:tc>
        <w:tc>
          <w:tcPr>
            <w:tcW w:w="3828" w:type="dxa"/>
            <w:shd w:val="clear" w:color="auto" w:fill="auto"/>
            <w:vAlign w:val="center"/>
          </w:tcPr>
          <w:p w14:paraId="36AD9A55"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社会のルールや人との約束を守る</w:t>
            </w:r>
          </w:p>
        </w:tc>
      </w:tr>
      <w:tr w:rsidR="00C37DDC" w:rsidRPr="00CA40A6" w14:paraId="35AB4E20" w14:textId="77777777" w:rsidTr="001E0E8D">
        <w:trPr>
          <w:trHeight w:val="224"/>
        </w:trPr>
        <w:tc>
          <w:tcPr>
            <w:tcW w:w="1129" w:type="dxa"/>
            <w:vMerge/>
            <w:shd w:val="clear" w:color="auto" w:fill="auto"/>
            <w:vAlign w:val="center"/>
          </w:tcPr>
          <w:p w14:paraId="3AAA1B34" w14:textId="77777777" w:rsidR="00C37DDC" w:rsidRPr="00CA40A6" w:rsidRDefault="00C37DDC" w:rsidP="00C37DDC">
            <w:pPr>
              <w:jc w:val="center"/>
              <w:rPr>
                <w:rFonts w:ascii="ＭＳ Ｐゴシック" w:eastAsia="ＭＳ Ｐゴシック" w:hAnsi="ＭＳ Ｐゴシック"/>
                <w:b/>
                <w:szCs w:val="21"/>
              </w:rPr>
            </w:pPr>
          </w:p>
        </w:tc>
        <w:tc>
          <w:tcPr>
            <w:tcW w:w="2977" w:type="dxa"/>
            <w:vMerge/>
            <w:shd w:val="clear" w:color="auto" w:fill="auto"/>
            <w:vAlign w:val="center"/>
          </w:tcPr>
          <w:p w14:paraId="2AE26AD1" w14:textId="77777777" w:rsidR="00C37DDC" w:rsidRPr="00CA40A6" w:rsidRDefault="00C37DDC" w:rsidP="00C37DDC">
            <w:pPr>
              <w:jc w:val="left"/>
              <w:rPr>
                <w:rFonts w:ascii="ＭＳ Ｐゴシック" w:eastAsia="ＭＳ Ｐゴシック" w:hAnsi="ＭＳ Ｐゴシック"/>
                <w:szCs w:val="21"/>
              </w:rPr>
            </w:pPr>
          </w:p>
        </w:tc>
        <w:tc>
          <w:tcPr>
            <w:tcW w:w="1559" w:type="dxa"/>
            <w:shd w:val="clear" w:color="auto" w:fill="auto"/>
          </w:tcPr>
          <w:p w14:paraId="4B288DFF" w14:textId="77777777" w:rsidR="00C37DDC" w:rsidRPr="00CA40A6" w:rsidRDefault="00C37DDC" w:rsidP="00C37DDC">
            <w:pPr>
              <w:rPr>
                <w:rFonts w:ascii="ＭＳ Ｐゴシック" w:eastAsia="ＭＳ Ｐゴシック" w:hAnsi="ＭＳ Ｐゴシック"/>
                <w:szCs w:val="21"/>
              </w:rPr>
            </w:pPr>
            <w:r w:rsidRPr="001E0E8D">
              <w:rPr>
                <w:rFonts w:ascii="ＭＳ Ｐゴシック" w:eastAsia="ＭＳ Ｐゴシック" w:hAnsi="ＭＳ Ｐゴシック" w:hint="eastAsia"/>
                <w:spacing w:val="3"/>
                <w:w w:val="76"/>
                <w:kern w:val="0"/>
                <w:szCs w:val="21"/>
                <w:fitText w:val="1521" w:id="-1218232064"/>
              </w:rPr>
              <w:t>ストレスコントロール</w:t>
            </w:r>
            <w:r w:rsidRPr="001E0E8D">
              <w:rPr>
                <w:rFonts w:ascii="ＭＳ Ｐゴシック" w:eastAsia="ＭＳ Ｐゴシック" w:hAnsi="ＭＳ Ｐゴシック" w:hint="eastAsia"/>
                <w:spacing w:val="2"/>
                <w:w w:val="76"/>
                <w:kern w:val="0"/>
                <w:szCs w:val="21"/>
                <w:fitText w:val="1521" w:id="-1218232064"/>
              </w:rPr>
              <w:t>力</w:t>
            </w:r>
          </w:p>
        </w:tc>
        <w:tc>
          <w:tcPr>
            <w:tcW w:w="3828" w:type="dxa"/>
            <w:shd w:val="clear" w:color="auto" w:fill="auto"/>
            <w:vAlign w:val="center"/>
          </w:tcPr>
          <w:p w14:paraId="6DDC40B5" w14:textId="77777777" w:rsidR="00C37DDC" w:rsidRPr="00CA40A6" w:rsidRDefault="00C37DDC" w:rsidP="00C37DDC">
            <w:pPr>
              <w:jc w:val="left"/>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ストレス発生源に対応する</w:t>
            </w:r>
          </w:p>
        </w:tc>
      </w:tr>
    </w:tbl>
    <w:p w14:paraId="07E0EA89" w14:textId="77777777" w:rsidR="001851A8" w:rsidRPr="00CA40A6" w:rsidRDefault="001851A8">
      <w:pPr>
        <w:rPr>
          <w:rFonts w:ascii="ＭＳ Ｐゴシック" w:eastAsia="ＭＳ Ｐゴシック" w:hAnsi="ＭＳ Ｐゴシック"/>
        </w:rPr>
      </w:pPr>
    </w:p>
    <w:p w14:paraId="5A923321" w14:textId="77777777" w:rsidR="005F4470" w:rsidRPr="00CA40A6" w:rsidRDefault="005F4470">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※社会人基礎力</w:t>
      </w:r>
    </w:p>
    <w:p w14:paraId="35C05D05" w14:textId="77777777" w:rsidR="005F4470" w:rsidRPr="00CA40A6" w:rsidRDefault="005F4470">
      <w:pPr>
        <w:rPr>
          <w:rFonts w:ascii="ＭＳ Ｐゴシック" w:eastAsia="ＭＳ Ｐゴシック" w:hAnsi="ＭＳ Ｐゴシック"/>
          <w:szCs w:val="21"/>
        </w:rPr>
      </w:pPr>
      <w:r w:rsidRPr="00CA40A6">
        <w:rPr>
          <w:rFonts w:ascii="ＭＳ Ｐゴシック" w:eastAsia="ＭＳ Ｐゴシック" w:hAnsi="ＭＳ Ｐゴシック" w:hint="eastAsia"/>
          <w:szCs w:val="21"/>
        </w:rPr>
        <w:t>「社会人基礎力」は、職場や地域社会の中で多様な人々とともに仕事を行っていく上で必要な基礎的な能力として</w:t>
      </w:r>
      <w:r w:rsidR="00CA40A6">
        <w:rPr>
          <w:rFonts w:ascii="ＭＳ Ｐゴシック" w:eastAsia="ＭＳ Ｐゴシック" w:hAnsi="ＭＳ Ｐゴシック" w:hint="eastAsia"/>
          <w:szCs w:val="21"/>
        </w:rPr>
        <w:t>経済</w:t>
      </w:r>
      <w:r w:rsidRPr="00CA40A6">
        <w:rPr>
          <w:rFonts w:ascii="ＭＳ Ｐゴシック" w:eastAsia="ＭＳ Ｐゴシック" w:hAnsi="ＭＳ Ｐゴシック" w:hint="eastAsia"/>
          <w:szCs w:val="21"/>
        </w:rPr>
        <w:t>産業省が提唱している概念で、「前に踏み出す力」「考え抜く力」「チームで働く力」の3つの能力、及びこれ</w:t>
      </w:r>
      <w:r w:rsidR="00CA40A6">
        <w:rPr>
          <w:rFonts w:ascii="ＭＳ Ｐゴシック" w:eastAsia="ＭＳ Ｐゴシック" w:hAnsi="ＭＳ Ｐゴシック" w:hint="eastAsia"/>
          <w:szCs w:val="21"/>
        </w:rPr>
        <w:t>ら</w:t>
      </w:r>
      <w:r w:rsidRPr="00CA40A6">
        <w:rPr>
          <w:rFonts w:ascii="ＭＳ Ｐゴシック" w:eastAsia="ＭＳ Ｐゴシック" w:hAnsi="ＭＳ Ｐゴシック" w:hint="eastAsia"/>
          <w:szCs w:val="21"/>
        </w:rPr>
        <w:t>を構成する12の能力要素が示されています。職場や地域社会の中で多様な人々とともに仕事を行っていく上では、基礎学力や専門知識のみならず</w:t>
      </w:r>
      <w:r w:rsidR="001851A8" w:rsidRPr="00CA40A6">
        <w:rPr>
          <w:rFonts w:ascii="ＭＳ Ｐゴシック" w:eastAsia="ＭＳ Ｐゴシック" w:hAnsi="ＭＳ Ｐゴシック" w:hint="eastAsia"/>
          <w:szCs w:val="21"/>
        </w:rPr>
        <w:t>、それらを「発揮する」ためのコンピュータのOSに位置する能力・行動力を身に付けていくことが必要です。このような力は、自らの成長目標に向かって意識して取り組んでいき、また周囲からのフィードバックを受けていくことで、インターンシップ、ゼミ活動、正課授業等あらゆる学びの場を通じて成長させることができるものです。</w:t>
      </w:r>
    </w:p>
    <w:sectPr w:rsidR="005F4470" w:rsidRPr="00CA40A6" w:rsidSect="00C37DD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2B"/>
    <w:rsid w:val="001851A8"/>
    <w:rsid w:val="001E0E8D"/>
    <w:rsid w:val="005F4470"/>
    <w:rsid w:val="0062142B"/>
    <w:rsid w:val="00C37DDC"/>
    <w:rsid w:val="00CA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05A76"/>
  <w15:chartTrackingRefBased/>
  <w15:docId w15:val="{3CEAF64D-52AA-4338-8FB5-AD5E6CCC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14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E33C-43D5-470D-A8EB-82E81AF0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PC200102</dc:creator>
  <cp:keywords/>
  <dc:description/>
  <cp:lastModifiedBy>PC200102</cp:lastModifiedBy>
  <cp:revision>4</cp:revision>
  <cp:lastPrinted>2023-07-12T04:34:00Z</cp:lastPrinted>
  <dcterms:created xsi:type="dcterms:W3CDTF">2023-07-12T02:36:00Z</dcterms:created>
  <dcterms:modified xsi:type="dcterms:W3CDTF">2023-07-12T04:37:00Z</dcterms:modified>
</cp:coreProperties>
</file>